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78E2" w14:textId="77777777" w:rsidR="004659D6" w:rsidRPr="004659D6" w:rsidRDefault="004659D6" w:rsidP="004659D6">
      <w:pPr>
        <w:keepNext/>
        <w:keepLines/>
        <w:spacing w:before="200" w:after="120" w:line="259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4659D6">
        <w:rPr>
          <w:rFonts w:ascii="Times New Roman" w:eastAsia="MS Gothic" w:hAnsi="Times New Roman" w:cs="Times New Roman"/>
          <w:b/>
          <w:bCs/>
          <w:kern w:val="0"/>
          <w14:ligatures w14:val="none"/>
        </w:rPr>
        <w:t>Arkusz kontroli zgodności standardów z art. 22c ustawy</w:t>
      </w:r>
    </w:p>
    <w:p w14:paraId="024F599C" w14:textId="77777777" w:rsidR="004659D6" w:rsidRPr="004659D6" w:rsidRDefault="004659D6" w:rsidP="004659D6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4659D6">
        <w:rPr>
          <w:rFonts w:ascii="Times New Roman" w:eastAsia="Arial" w:hAnsi="Times New Roman" w:cs="Times New Roman"/>
          <w:kern w:val="0"/>
          <w14:ligatures w14:val="none"/>
        </w:rPr>
        <w:t>Instrukcja: w kolumnie „ocena” należy wpisać: spełnione / częściowo spełnione / niespełnione / nie dotyczy. W kolumnie „działanie” należy wskazać konkretne zadanie naprawcze albo potwierdzić brak potrzeby zmiany.</w:t>
      </w:r>
    </w:p>
    <w:p w14:paraId="392D718A" w14:textId="77777777" w:rsidR="004659D6" w:rsidRPr="004659D6" w:rsidRDefault="004659D6" w:rsidP="004659D6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4659D6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4659D6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małoletnich.</w:t>
      </w:r>
    </w:p>
    <w:tbl>
      <w:tblPr>
        <w:tblStyle w:val="Tabela-Siatka1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570"/>
        <w:gridCol w:w="2590"/>
        <w:gridCol w:w="1219"/>
        <w:gridCol w:w="3416"/>
        <w:gridCol w:w="1267"/>
      </w:tblGrid>
      <w:tr w:rsidR="004659D6" w:rsidRPr="004659D6" w14:paraId="5B65848A" w14:textId="77777777" w:rsidTr="00976FE3">
        <w:trPr>
          <w:tblHeader/>
          <w:jc w:val="center"/>
        </w:trPr>
        <w:tc>
          <w:tcPr>
            <w:tcW w:w="396" w:type="dxa"/>
            <w:shd w:val="clear" w:color="auto" w:fill="BDD7EE"/>
          </w:tcPr>
          <w:p w14:paraId="1F6999F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3515" w:type="dxa"/>
            <w:shd w:val="clear" w:color="auto" w:fill="BDD7EE"/>
          </w:tcPr>
          <w:p w14:paraId="31459478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Pytanie kontrolne</w:t>
            </w:r>
          </w:p>
        </w:tc>
        <w:tc>
          <w:tcPr>
            <w:tcW w:w="1247" w:type="dxa"/>
            <w:shd w:val="clear" w:color="auto" w:fill="BDD7EE"/>
          </w:tcPr>
          <w:p w14:paraId="555D885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Ocena</w:t>
            </w:r>
          </w:p>
        </w:tc>
        <w:tc>
          <w:tcPr>
            <w:tcW w:w="2948" w:type="dxa"/>
            <w:shd w:val="clear" w:color="auto" w:fill="BDD7EE"/>
          </w:tcPr>
          <w:p w14:paraId="0044A67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Działanie / uwaga</w:t>
            </w:r>
          </w:p>
        </w:tc>
        <w:tc>
          <w:tcPr>
            <w:tcW w:w="1814" w:type="dxa"/>
            <w:shd w:val="clear" w:color="auto" w:fill="BDD7EE"/>
          </w:tcPr>
          <w:p w14:paraId="64B3A8F4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Podstawa prawna</w:t>
            </w:r>
          </w:p>
        </w:tc>
      </w:tr>
      <w:tr w:rsidR="004659D6" w:rsidRPr="004659D6" w14:paraId="2EE13985" w14:textId="77777777" w:rsidTr="00976FE3">
        <w:trPr>
          <w:jc w:val="center"/>
        </w:trPr>
        <w:tc>
          <w:tcPr>
            <w:tcW w:w="396" w:type="dxa"/>
          </w:tcPr>
          <w:p w14:paraId="609A7993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3515" w:type="dxa"/>
          </w:tcPr>
          <w:p w14:paraId="2136D545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określają zasady zapewniające bezpieczne relacje między małoletnim a personelem oraz zachowania niedozwolone wobec uczniów?</w:t>
            </w:r>
          </w:p>
        </w:tc>
        <w:tc>
          <w:tcPr>
            <w:tcW w:w="1247" w:type="dxa"/>
          </w:tcPr>
          <w:p w14:paraId="4FA07BE0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spełnione / częściowo / nie</w:t>
            </w:r>
          </w:p>
        </w:tc>
        <w:tc>
          <w:tcPr>
            <w:tcW w:w="2948" w:type="dxa"/>
          </w:tcPr>
          <w:p w14:paraId="5ABD28F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doprecyzować kontakt fizyczny, komunikację indywidualną, zakaz upokarzania</w:t>
            </w:r>
          </w:p>
        </w:tc>
        <w:tc>
          <w:tcPr>
            <w:tcW w:w="1814" w:type="dxa"/>
          </w:tcPr>
          <w:p w14:paraId="25D9C82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1</w:t>
            </w:r>
          </w:p>
        </w:tc>
      </w:tr>
      <w:tr w:rsidR="004659D6" w:rsidRPr="004659D6" w14:paraId="00F8E915" w14:textId="77777777" w:rsidTr="00976FE3">
        <w:trPr>
          <w:jc w:val="center"/>
        </w:trPr>
        <w:tc>
          <w:tcPr>
            <w:tcW w:w="396" w:type="dxa"/>
          </w:tcPr>
          <w:p w14:paraId="11686E9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3515" w:type="dxa"/>
          </w:tcPr>
          <w:p w14:paraId="6E68924A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określają zasady i procedurę podejmowania interwencji w sytuacji podejrzenia krzywdzenia lub posiadania informacji o krzywdzeniu ucznia?</w:t>
            </w:r>
          </w:p>
        </w:tc>
        <w:tc>
          <w:tcPr>
            <w:tcW w:w="1247" w:type="dxa"/>
          </w:tcPr>
          <w:p w14:paraId="3CC11A7E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5722261E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uporządkować ścieżkę: pracownik - osoba odpowiedzialna - dyrektor - instytucje zewnętrzne</w:t>
            </w:r>
          </w:p>
        </w:tc>
        <w:tc>
          <w:tcPr>
            <w:tcW w:w="1814" w:type="dxa"/>
          </w:tcPr>
          <w:p w14:paraId="541D3EA4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2</w:t>
            </w:r>
          </w:p>
        </w:tc>
      </w:tr>
      <w:tr w:rsidR="004659D6" w:rsidRPr="004659D6" w14:paraId="63ED1767" w14:textId="77777777" w:rsidTr="00976FE3">
        <w:trPr>
          <w:jc w:val="center"/>
        </w:trPr>
        <w:tc>
          <w:tcPr>
            <w:tcW w:w="396" w:type="dxa"/>
          </w:tcPr>
          <w:p w14:paraId="68127363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3515" w:type="dxa"/>
          </w:tcPr>
          <w:p w14:paraId="26E195FA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wskazano procedury i osoby odpowiedzialne za składanie zawiadomień o podejrzeniu przestępstwa na szkodę małoletniego?</w:t>
            </w:r>
          </w:p>
        </w:tc>
        <w:tc>
          <w:tcPr>
            <w:tcW w:w="1247" w:type="dxa"/>
          </w:tcPr>
          <w:p w14:paraId="3743642C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2F66C95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dodać wzór zawiadomienia do Policji/prokuratury</w:t>
            </w:r>
          </w:p>
        </w:tc>
        <w:tc>
          <w:tcPr>
            <w:tcW w:w="1814" w:type="dxa"/>
          </w:tcPr>
          <w:p w14:paraId="15471B40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3; art. 240 § 1 k.k.</w:t>
            </w:r>
          </w:p>
        </w:tc>
      </w:tr>
      <w:tr w:rsidR="004659D6" w:rsidRPr="004659D6" w14:paraId="4100669F" w14:textId="77777777" w:rsidTr="00976FE3">
        <w:trPr>
          <w:jc w:val="center"/>
        </w:trPr>
        <w:tc>
          <w:tcPr>
            <w:tcW w:w="396" w:type="dxa"/>
          </w:tcPr>
          <w:p w14:paraId="19A7AA41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3515" w:type="dxa"/>
          </w:tcPr>
          <w:p w14:paraId="503B3F4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wskazano procedury i osoby odpowiedzialne za zawiadamianie sądu opiekuńczego?</w:t>
            </w:r>
          </w:p>
        </w:tc>
        <w:tc>
          <w:tcPr>
            <w:tcW w:w="1247" w:type="dxa"/>
          </w:tcPr>
          <w:p w14:paraId="0BF855F3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5106111C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dodać wzór wniosku do sądu opiekuńczego</w:t>
            </w:r>
          </w:p>
        </w:tc>
        <w:tc>
          <w:tcPr>
            <w:tcW w:w="1814" w:type="dxa"/>
          </w:tcPr>
          <w:p w14:paraId="70CB441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3</w:t>
            </w:r>
          </w:p>
        </w:tc>
      </w:tr>
      <w:tr w:rsidR="004659D6" w:rsidRPr="004659D6" w14:paraId="43904629" w14:textId="77777777" w:rsidTr="00976FE3">
        <w:trPr>
          <w:jc w:val="center"/>
        </w:trPr>
        <w:tc>
          <w:tcPr>
            <w:tcW w:w="396" w:type="dxa"/>
          </w:tcPr>
          <w:p w14:paraId="476DBF3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3515" w:type="dxa"/>
          </w:tcPr>
          <w:p w14:paraId="584CCE6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określają zasady przeglądu i aktualizacji standardów?</w:t>
            </w:r>
          </w:p>
        </w:tc>
        <w:tc>
          <w:tcPr>
            <w:tcW w:w="1247" w:type="dxa"/>
          </w:tcPr>
          <w:p w14:paraId="1597658B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6C1F3F57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wprowadzić dwuletnią metrykę przeglądów i wzór pisemnych wniosków</w:t>
            </w:r>
          </w:p>
        </w:tc>
        <w:tc>
          <w:tcPr>
            <w:tcW w:w="1814" w:type="dxa"/>
          </w:tcPr>
          <w:p w14:paraId="05CDCF24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4 i ust. 6</w:t>
            </w:r>
          </w:p>
        </w:tc>
      </w:tr>
      <w:tr w:rsidR="004659D6" w:rsidRPr="004659D6" w14:paraId="4D3DBDFE" w14:textId="77777777" w:rsidTr="00976FE3">
        <w:trPr>
          <w:jc w:val="center"/>
        </w:trPr>
        <w:tc>
          <w:tcPr>
            <w:tcW w:w="396" w:type="dxa"/>
          </w:tcPr>
          <w:p w14:paraId="10E06193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3515" w:type="dxa"/>
          </w:tcPr>
          <w:p w14:paraId="0B0BED3E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określono zakres kompetencji osoby odpowiedzialnej za przygotowanie personelu do stosowania standardów?</w:t>
            </w:r>
          </w:p>
        </w:tc>
        <w:tc>
          <w:tcPr>
            <w:tcW w:w="1247" w:type="dxa"/>
          </w:tcPr>
          <w:p w14:paraId="639916C6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030B8D10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wskazać imiennie funkcję: pedagog/psycholog/wicedyrektor</w:t>
            </w:r>
          </w:p>
        </w:tc>
        <w:tc>
          <w:tcPr>
            <w:tcW w:w="1814" w:type="dxa"/>
          </w:tcPr>
          <w:p w14:paraId="6D2F5E33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5</w:t>
            </w:r>
          </w:p>
        </w:tc>
      </w:tr>
      <w:tr w:rsidR="004659D6" w:rsidRPr="004659D6" w14:paraId="59956687" w14:textId="77777777" w:rsidTr="00976FE3">
        <w:trPr>
          <w:jc w:val="center"/>
        </w:trPr>
        <w:tc>
          <w:tcPr>
            <w:tcW w:w="396" w:type="dxa"/>
          </w:tcPr>
          <w:p w14:paraId="54AEA698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3515" w:type="dxa"/>
          </w:tcPr>
          <w:p w14:paraId="4B39EF95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 xml:space="preserve">Czy określono zasady przygotowania personelu i </w:t>
            </w: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lastRenderedPageBreak/>
              <w:t>dokumentowania tej czynności?</w:t>
            </w:r>
          </w:p>
        </w:tc>
        <w:tc>
          <w:tcPr>
            <w:tcW w:w="1247" w:type="dxa"/>
          </w:tcPr>
          <w:p w14:paraId="08A90338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lastRenderedPageBreak/>
              <w:t>...</w:t>
            </w:r>
          </w:p>
        </w:tc>
        <w:tc>
          <w:tcPr>
            <w:tcW w:w="2948" w:type="dxa"/>
          </w:tcPr>
          <w:p w14:paraId="56ED37E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lista obecności, oświadczenia, szkolenie wstępne i okresowe</w:t>
            </w:r>
          </w:p>
        </w:tc>
        <w:tc>
          <w:tcPr>
            <w:tcW w:w="1814" w:type="dxa"/>
          </w:tcPr>
          <w:p w14:paraId="6585D04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5</w:t>
            </w:r>
          </w:p>
        </w:tc>
      </w:tr>
      <w:tr w:rsidR="004659D6" w:rsidRPr="004659D6" w14:paraId="71A10407" w14:textId="77777777" w:rsidTr="00976FE3">
        <w:trPr>
          <w:jc w:val="center"/>
        </w:trPr>
        <w:tc>
          <w:tcPr>
            <w:tcW w:w="396" w:type="dxa"/>
          </w:tcPr>
          <w:p w14:paraId="538B1E3C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3515" w:type="dxa"/>
          </w:tcPr>
          <w:p w14:paraId="1B13D1CB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określono zasady i sposób udostępniania rodzicom/opiekunom oraz uczniom standardów?</w:t>
            </w:r>
          </w:p>
        </w:tc>
        <w:tc>
          <w:tcPr>
            <w:tcW w:w="1247" w:type="dxa"/>
          </w:tcPr>
          <w:p w14:paraId="6264251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36F00D7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strona www, tablica, biblioteka, e-dziennik, zebrania</w:t>
            </w:r>
          </w:p>
        </w:tc>
        <w:tc>
          <w:tcPr>
            <w:tcW w:w="1814" w:type="dxa"/>
          </w:tcPr>
          <w:p w14:paraId="32408E54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6 i ust. 7</w:t>
            </w:r>
          </w:p>
        </w:tc>
      </w:tr>
      <w:tr w:rsidR="004659D6" w:rsidRPr="004659D6" w14:paraId="0A1E0996" w14:textId="77777777" w:rsidTr="00976FE3">
        <w:trPr>
          <w:jc w:val="center"/>
        </w:trPr>
        <w:tc>
          <w:tcPr>
            <w:tcW w:w="396" w:type="dxa"/>
          </w:tcPr>
          <w:p w14:paraId="492486B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3515" w:type="dxa"/>
          </w:tcPr>
          <w:p w14:paraId="1951E6CA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wskazano osoby odpowiedzialne za przyjmowanie zgłoszeń o zdarzeniach zagrażających uczniowi?</w:t>
            </w:r>
          </w:p>
        </w:tc>
        <w:tc>
          <w:tcPr>
            <w:tcW w:w="1247" w:type="dxa"/>
          </w:tcPr>
          <w:p w14:paraId="760F9CF6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50057171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dyrektor, pedagog, psycholog, wychowawca, sekretariat jako punkt kontaktu</w:t>
            </w:r>
          </w:p>
        </w:tc>
        <w:tc>
          <w:tcPr>
            <w:tcW w:w="1814" w:type="dxa"/>
          </w:tcPr>
          <w:p w14:paraId="7BDDE16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7</w:t>
            </w:r>
          </w:p>
        </w:tc>
      </w:tr>
      <w:tr w:rsidR="004659D6" w:rsidRPr="004659D6" w14:paraId="15921B45" w14:textId="77777777" w:rsidTr="00976FE3">
        <w:trPr>
          <w:jc w:val="center"/>
        </w:trPr>
        <w:tc>
          <w:tcPr>
            <w:tcW w:w="396" w:type="dxa"/>
          </w:tcPr>
          <w:p w14:paraId="3D62840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3515" w:type="dxa"/>
          </w:tcPr>
          <w:p w14:paraId="0770C848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określono sposób dokumentowania i zasady przechowywania ujawnionych lub zgłoszonych incydentów?</w:t>
            </w:r>
          </w:p>
        </w:tc>
        <w:tc>
          <w:tcPr>
            <w:tcW w:w="1247" w:type="dxa"/>
          </w:tcPr>
          <w:p w14:paraId="0CC038AB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454AA8A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rejestr incydentów, karta interwencji, ograniczenie dostępu</w:t>
            </w:r>
          </w:p>
        </w:tc>
        <w:tc>
          <w:tcPr>
            <w:tcW w:w="1814" w:type="dxa"/>
          </w:tcPr>
          <w:p w14:paraId="5C35C34C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8</w:t>
            </w:r>
          </w:p>
        </w:tc>
      </w:tr>
      <w:tr w:rsidR="004659D6" w:rsidRPr="004659D6" w14:paraId="7BD3C59A" w14:textId="77777777" w:rsidTr="00976FE3">
        <w:trPr>
          <w:jc w:val="center"/>
        </w:trPr>
        <w:tc>
          <w:tcPr>
            <w:tcW w:w="396" w:type="dxa"/>
          </w:tcPr>
          <w:p w14:paraId="212CE5A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11</w:t>
            </w:r>
          </w:p>
        </w:tc>
        <w:tc>
          <w:tcPr>
            <w:tcW w:w="3515" w:type="dxa"/>
          </w:tcPr>
          <w:p w14:paraId="52742637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określają wymogi bezpiecznych relacji między małoletnimi, w szczególności zachowania niedozwolone?</w:t>
            </w:r>
          </w:p>
        </w:tc>
        <w:tc>
          <w:tcPr>
            <w:tcW w:w="1247" w:type="dxa"/>
          </w:tcPr>
          <w:p w14:paraId="4CEAFC4C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6DDDD429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cyberprzemoc, przemoc rówieśnicza, szantaż, wykluczanie, nagrywanie</w:t>
            </w:r>
          </w:p>
        </w:tc>
        <w:tc>
          <w:tcPr>
            <w:tcW w:w="1814" w:type="dxa"/>
          </w:tcPr>
          <w:p w14:paraId="72211FF4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2 pkt 1</w:t>
            </w:r>
          </w:p>
        </w:tc>
      </w:tr>
      <w:tr w:rsidR="004659D6" w:rsidRPr="004659D6" w14:paraId="047D9524" w14:textId="77777777" w:rsidTr="00976FE3">
        <w:trPr>
          <w:jc w:val="center"/>
        </w:trPr>
        <w:tc>
          <w:tcPr>
            <w:tcW w:w="396" w:type="dxa"/>
          </w:tcPr>
          <w:p w14:paraId="0650AFCB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3515" w:type="dxa"/>
          </w:tcPr>
          <w:p w14:paraId="6074A22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uregulowano zasady korzystania z urządzeń elektronicznych z dostępem do Internetu?</w:t>
            </w:r>
          </w:p>
        </w:tc>
        <w:tc>
          <w:tcPr>
            <w:tcW w:w="1247" w:type="dxa"/>
          </w:tcPr>
          <w:p w14:paraId="757EE20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1FB30C07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lekcje, przerwy, świetlica, wycieczki, zakaz nagrywania bez zgody</w:t>
            </w:r>
          </w:p>
        </w:tc>
        <w:tc>
          <w:tcPr>
            <w:tcW w:w="1814" w:type="dxa"/>
          </w:tcPr>
          <w:p w14:paraId="32E13366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2 pkt 2</w:t>
            </w:r>
          </w:p>
        </w:tc>
      </w:tr>
      <w:tr w:rsidR="004659D6" w:rsidRPr="004659D6" w14:paraId="48A7C4D3" w14:textId="77777777" w:rsidTr="00976FE3">
        <w:trPr>
          <w:jc w:val="center"/>
        </w:trPr>
        <w:tc>
          <w:tcPr>
            <w:tcW w:w="396" w:type="dxa"/>
          </w:tcPr>
          <w:p w14:paraId="60CF4BA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13</w:t>
            </w:r>
          </w:p>
        </w:tc>
        <w:tc>
          <w:tcPr>
            <w:tcW w:w="3515" w:type="dxa"/>
          </w:tcPr>
          <w:p w14:paraId="0B976EF7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zawierają procedury ochrony uczniów przed treściami szkodliwymi i zagrożeniami w Internecie oraz utrwalonymi w innej formie?</w:t>
            </w:r>
          </w:p>
        </w:tc>
        <w:tc>
          <w:tcPr>
            <w:tcW w:w="1247" w:type="dxa"/>
          </w:tcPr>
          <w:p w14:paraId="4B88ACE8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555E1C71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procedura zrzutu ekranu, zabezpieczenia dowodów, zgłoszenia administratorowi</w:t>
            </w:r>
          </w:p>
        </w:tc>
        <w:tc>
          <w:tcPr>
            <w:tcW w:w="1814" w:type="dxa"/>
          </w:tcPr>
          <w:p w14:paraId="167604E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2 pkt 3</w:t>
            </w:r>
          </w:p>
        </w:tc>
      </w:tr>
      <w:tr w:rsidR="004659D6" w:rsidRPr="004659D6" w14:paraId="4D4A2DA7" w14:textId="77777777" w:rsidTr="00976FE3">
        <w:trPr>
          <w:jc w:val="center"/>
        </w:trPr>
        <w:tc>
          <w:tcPr>
            <w:tcW w:w="396" w:type="dxa"/>
          </w:tcPr>
          <w:p w14:paraId="6736AC7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14</w:t>
            </w:r>
          </w:p>
        </w:tc>
        <w:tc>
          <w:tcPr>
            <w:tcW w:w="3515" w:type="dxa"/>
          </w:tcPr>
          <w:p w14:paraId="37842F7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określają zasady ustalania planu wsparcia ucznia po ujawnieniu krzywdzenia?</w:t>
            </w:r>
          </w:p>
        </w:tc>
        <w:tc>
          <w:tcPr>
            <w:tcW w:w="1247" w:type="dxa"/>
          </w:tcPr>
          <w:p w14:paraId="651D01C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24DB0A10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plan wsparcia, osoba prowadząca, terminy monitoringu</w:t>
            </w:r>
          </w:p>
        </w:tc>
        <w:tc>
          <w:tcPr>
            <w:tcW w:w="1814" w:type="dxa"/>
          </w:tcPr>
          <w:p w14:paraId="021DD39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2 pkt 4</w:t>
            </w:r>
          </w:p>
        </w:tc>
      </w:tr>
      <w:tr w:rsidR="004659D6" w:rsidRPr="004659D6" w14:paraId="24E581D8" w14:textId="77777777" w:rsidTr="00976FE3">
        <w:trPr>
          <w:jc w:val="center"/>
        </w:trPr>
        <w:tc>
          <w:tcPr>
            <w:tcW w:w="396" w:type="dxa"/>
          </w:tcPr>
          <w:p w14:paraId="31C6408E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15</w:t>
            </w:r>
          </w:p>
        </w:tc>
        <w:tc>
          <w:tcPr>
            <w:tcW w:w="3515" w:type="dxa"/>
          </w:tcPr>
          <w:p w14:paraId="1DA74CB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 xml:space="preserve">Czy w standardach uwzględniono sytuację uczniów z niepełnosprawnościami </w:t>
            </w: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lastRenderedPageBreak/>
              <w:t>i specjalnymi potrzebami edukacyjnymi?</w:t>
            </w:r>
          </w:p>
        </w:tc>
        <w:tc>
          <w:tcPr>
            <w:tcW w:w="1247" w:type="dxa"/>
          </w:tcPr>
          <w:p w14:paraId="363807F7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lastRenderedPageBreak/>
              <w:t>...</w:t>
            </w:r>
          </w:p>
        </w:tc>
        <w:tc>
          <w:tcPr>
            <w:tcW w:w="2948" w:type="dxa"/>
          </w:tcPr>
          <w:p w14:paraId="1E965AA3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alternatywna komunikacja, IPET, pomoc psychologiczno-pedagogiczna</w:t>
            </w:r>
          </w:p>
        </w:tc>
        <w:tc>
          <w:tcPr>
            <w:tcW w:w="1814" w:type="dxa"/>
          </w:tcPr>
          <w:p w14:paraId="091FD2C5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4</w:t>
            </w:r>
          </w:p>
        </w:tc>
      </w:tr>
      <w:tr w:rsidR="004659D6" w:rsidRPr="004659D6" w14:paraId="6820C1D9" w14:textId="77777777" w:rsidTr="00976FE3">
        <w:trPr>
          <w:jc w:val="center"/>
        </w:trPr>
        <w:tc>
          <w:tcPr>
            <w:tcW w:w="396" w:type="dxa"/>
          </w:tcPr>
          <w:p w14:paraId="13B310BD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16</w:t>
            </w:r>
          </w:p>
        </w:tc>
        <w:tc>
          <w:tcPr>
            <w:tcW w:w="3515" w:type="dxa"/>
          </w:tcPr>
          <w:p w14:paraId="5795F14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wersja skrócona jest zrozumiała dla uczniów, odpowiednia do wieku i dostępna w widocznym miejscu?</w:t>
            </w:r>
          </w:p>
        </w:tc>
        <w:tc>
          <w:tcPr>
            <w:tcW w:w="1247" w:type="dxa"/>
          </w:tcPr>
          <w:p w14:paraId="2E555F92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...</w:t>
            </w:r>
          </w:p>
        </w:tc>
        <w:tc>
          <w:tcPr>
            <w:tcW w:w="2948" w:type="dxa"/>
          </w:tcPr>
          <w:p w14:paraId="1C4041C7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np. uprościć język, dodać piktogramy, numery alarmowe</w:t>
            </w:r>
          </w:p>
        </w:tc>
        <w:tc>
          <w:tcPr>
            <w:tcW w:w="1814" w:type="dxa"/>
          </w:tcPr>
          <w:p w14:paraId="68282BAF" w14:textId="77777777" w:rsidR="004659D6" w:rsidRPr="004659D6" w:rsidRDefault="004659D6" w:rsidP="004659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4659D6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5 i ust. 7</w:t>
            </w:r>
          </w:p>
        </w:tc>
      </w:tr>
    </w:tbl>
    <w:p w14:paraId="4BB9838A" w14:textId="77777777" w:rsidR="004659D6" w:rsidRPr="004659D6" w:rsidRDefault="004659D6" w:rsidP="004659D6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</w:p>
    <w:p w14:paraId="00A2AFB6" w14:textId="77777777" w:rsidR="004659D6" w:rsidRPr="004659D6" w:rsidRDefault="004659D6">
      <w:pPr>
        <w:rPr>
          <w:rFonts w:ascii="Times New Roman" w:hAnsi="Times New Roman" w:cs="Times New Roman"/>
        </w:rPr>
      </w:pPr>
    </w:p>
    <w:sectPr w:rsidR="004659D6" w:rsidRPr="00465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D6"/>
    <w:rsid w:val="004659D6"/>
    <w:rsid w:val="009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ACA"/>
  <w15:chartTrackingRefBased/>
  <w15:docId w15:val="{2D8AA604-95AA-4068-9E5C-E91C9EC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9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9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9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9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9D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4659D6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6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2026-06-29T13:43:00Z</dcterms:created>
  <dcterms:modified xsi:type="dcterms:W3CDTF">2026-06-29T13:43:00Z</dcterms:modified>
</cp:coreProperties>
</file>